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2201" w14:textId="77777777" w:rsidR="0032069B" w:rsidRPr="0032069B" w:rsidRDefault="0032069B" w:rsidP="0032069B">
      <w:pPr>
        <w:jc w:val="center"/>
        <w:rPr>
          <w:b/>
          <w:bCs/>
          <w:sz w:val="28"/>
          <w:szCs w:val="28"/>
        </w:rPr>
      </w:pPr>
      <w:r w:rsidRPr="0032069B">
        <w:rPr>
          <w:b/>
          <w:bCs/>
          <w:sz w:val="28"/>
          <w:szCs w:val="28"/>
        </w:rPr>
        <w:t>THÔNG BÁO</w:t>
      </w:r>
    </w:p>
    <w:p w14:paraId="4BF84F1D" w14:textId="77777777" w:rsidR="0032069B" w:rsidRPr="0032069B" w:rsidRDefault="0032069B" w:rsidP="0032069B">
      <w:pPr>
        <w:jc w:val="center"/>
        <w:rPr>
          <w:sz w:val="26"/>
          <w:szCs w:val="26"/>
        </w:rPr>
      </w:pPr>
      <w:r w:rsidRPr="0032069B">
        <w:rPr>
          <w:b/>
          <w:bCs/>
          <w:sz w:val="26"/>
          <w:szCs w:val="26"/>
        </w:rPr>
        <w:t>Về việc nghỉ lễ và phân công trực lễ Giỗ Tổ Hùng Vương, 30/4 và 1/5 năm 2026</w:t>
      </w:r>
    </w:p>
    <w:p w14:paraId="214098D2" w14:textId="7AA8258A" w:rsidR="0032069B" w:rsidRDefault="0032069B" w:rsidP="00260F5E">
      <w:pPr>
        <w:spacing w:before="60" w:after="60" w:line="240" w:lineRule="auto"/>
        <w:ind w:firstLine="709"/>
        <w:jc w:val="both"/>
        <w:rPr>
          <w:sz w:val="28"/>
          <w:szCs w:val="28"/>
        </w:rPr>
      </w:pPr>
      <w:r w:rsidRPr="0032069B">
        <w:rPr>
          <w:sz w:val="28"/>
          <w:szCs w:val="28"/>
        </w:rPr>
        <w:t xml:space="preserve">Thực hiện văn bản số: </w:t>
      </w:r>
      <w:r>
        <w:rPr>
          <w:sz w:val="28"/>
          <w:szCs w:val="28"/>
        </w:rPr>
        <w:t xml:space="preserve">1294 </w:t>
      </w:r>
      <w:r w:rsidRPr="0032069B">
        <w:rPr>
          <w:sz w:val="28"/>
          <w:szCs w:val="28"/>
        </w:rPr>
        <w:t>/SGDĐT-CTHSSV</w:t>
      </w:r>
      <w:r>
        <w:rPr>
          <w:sz w:val="28"/>
          <w:szCs w:val="28"/>
        </w:rPr>
        <w:t xml:space="preserve"> </w:t>
      </w:r>
      <w:r w:rsidRPr="0032069B">
        <w:rPr>
          <w:sz w:val="28"/>
          <w:szCs w:val="28"/>
        </w:rPr>
        <w:t xml:space="preserve">ngày </w:t>
      </w:r>
      <w:r>
        <w:rPr>
          <w:sz w:val="28"/>
          <w:szCs w:val="28"/>
        </w:rPr>
        <w:t>2</w:t>
      </w:r>
      <w:r w:rsidRPr="0032069B">
        <w:rPr>
          <w:sz w:val="28"/>
          <w:szCs w:val="28"/>
        </w:rPr>
        <w:t xml:space="preserve">3/4/2026 của </w:t>
      </w:r>
      <w:r>
        <w:rPr>
          <w:sz w:val="28"/>
          <w:szCs w:val="28"/>
        </w:rPr>
        <w:t>Sở giáo dục và Đào tạo tỉnh Ninh Bình</w:t>
      </w:r>
      <w:r w:rsidRPr="0032069B">
        <w:rPr>
          <w:sz w:val="28"/>
          <w:szCs w:val="28"/>
        </w:rPr>
        <w:t xml:space="preserve"> về lịch nghỉ dịp Giỗ Tổ Hùng Vương, Ngày Chiến thắng 30/4 và Ngày Quốc tế Lao động 01/5 năm 2026; Quyết định số 426/QĐ-UBND ngày 18/8/2025 của UBND tỉnh Ninh Bình về việc Ban hành Kế hoạch thời gian năm học 2025-2026 đối với giáo dục mầm non, giáo dục phổ thông và giáo dục thường xuyên tỉnh Ninh Bình, </w:t>
      </w:r>
      <w:r>
        <w:rPr>
          <w:sz w:val="28"/>
          <w:szCs w:val="28"/>
        </w:rPr>
        <w:t>Trường Mầm non Gia Thịnh</w:t>
      </w:r>
      <w:r w:rsidRPr="0032069B">
        <w:rPr>
          <w:sz w:val="28"/>
          <w:szCs w:val="28"/>
        </w:rPr>
        <w:t xml:space="preserve"> thông báo lịch nghỉ dịp Giỗ Tổ Hùng Vương, Ngày Chiến thắng 30/4 và Ngày Quốc tế lao động 01/5 năm 2026, cụ thể như sau: </w:t>
      </w:r>
    </w:p>
    <w:p w14:paraId="66828BE2" w14:textId="52A3DDCF" w:rsidR="0032069B" w:rsidRPr="0032069B" w:rsidRDefault="0032069B" w:rsidP="00260F5E">
      <w:pPr>
        <w:spacing w:before="60" w:after="60" w:line="240" w:lineRule="auto"/>
        <w:ind w:firstLine="709"/>
        <w:jc w:val="both"/>
        <w:rPr>
          <w:b/>
          <w:bCs/>
          <w:sz w:val="28"/>
          <w:szCs w:val="28"/>
        </w:rPr>
      </w:pPr>
      <w:r w:rsidRPr="0032069B">
        <w:rPr>
          <w:b/>
          <w:bCs/>
          <w:sz w:val="28"/>
          <w:szCs w:val="28"/>
        </w:rPr>
        <w:t>1. Lịch nghỉ lễ </w:t>
      </w:r>
    </w:p>
    <w:p w14:paraId="7DE45C89" w14:textId="41E7F585" w:rsidR="0032069B" w:rsidRPr="0032069B" w:rsidRDefault="0032069B" w:rsidP="00260F5E">
      <w:pPr>
        <w:spacing w:before="60" w:after="60" w:line="240" w:lineRule="auto"/>
        <w:ind w:firstLine="709"/>
        <w:jc w:val="both"/>
        <w:rPr>
          <w:sz w:val="28"/>
          <w:szCs w:val="28"/>
        </w:rPr>
      </w:pPr>
      <w:r w:rsidRPr="0032069B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32069B">
        <w:rPr>
          <w:b/>
          <w:bCs/>
          <w:sz w:val="28"/>
          <w:szCs w:val="28"/>
        </w:rPr>
        <w:t>Lễ Giỗ Tổ Hùng Vương (10/3 Âm lịch):</w:t>
      </w:r>
      <w:r w:rsidRPr="0032069B">
        <w:rPr>
          <w:sz w:val="28"/>
          <w:szCs w:val="28"/>
        </w:rPr>
        <w:t xml:space="preserve"> Do ngày 10/3 </w:t>
      </w:r>
      <w:r>
        <w:rPr>
          <w:sz w:val="28"/>
          <w:szCs w:val="28"/>
        </w:rPr>
        <w:t>trùng</w:t>
      </w:r>
      <w:r w:rsidRPr="0032069B">
        <w:rPr>
          <w:sz w:val="28"/>
          <w:szCs w:val="28"/>
        </w:rPr>
        <w:t xml:space="preserve"> vào Chủ Nhật (26/4/2026), cán bộ nhân viên được </w:t>
      </w:r>
      <w:r w:rsidRPr="0032069B">
        <w:rPr>
          <w:b/>
          <w:bCs/>
          <w:sz w:val="28"/>
          <w:szCs w:val="28"/>
        </w:rPr>
        <w:t>nghỉ bù vào Thứ Hai (27/4/2026)</w:t>
      </w:r>
      <w:r w:rsidRPr="0032069B">
        <w:rPr>
          <w:sz w:val="28"/>
          <w:szCs w:val="28"/>
        </w:rPr>
        <w:t>. Tổng thời gian nghỉ là </w:t>
      </w:r>
      <w:r w:rsidRPr="0032069B">
        <w:rPr>
          <w:b/>
          <w:bCs/>
          <w:sz w:val="28"/>
          <w:szCs w:val="28"/>
        </w:rPr>
        <w:t>03 ngày</w:t>
      </w:r>
      <w:r w:rsidRPr="0032069B">
        <w:rPr>
          <w:sz w:val="28"/>
          <w:szCs w:val="28"/>
        </w:rPr>
        <w:t> (từ 25/4 đến hết 27/4).</w:t>
      </w:r>
    </w:p>
    <w:p w14:paraId="3CBEF8FE" w14:textId="1DFC5196" w:rsidR="0032069B" w:rsidRPr="0032069B" w:rsidRDefault="0032069B" w:rsidP="00260F5E">
      <w:pPr>
        <w:spacing w:before="60" w:after="60" w:line="240" w:lineRule="auto"/>
        <w:ind w:firstLine="709"/>
        <w:jc w:val="both"/>
        <w:rPr>
          <w:sz w:val="28"/>
          <w:szCs w:val="28"/>
        </w:rPr>
      </w:pPr>
      <w:r w:rsidRPr="0032069B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32069B">
        <w:rPr>
          <w:b/>
          <w:bCs/>
          <w:sz w:val="28"/>
          <w:szCs w:val="28"/>
        </w:rPr>
        <w:t>Lễ Chiến thắng (30/4) và Quốc tế Lao động (1/5):</w:t>
      </w:r>
      <w:r w:rsidRPr="0032069B">
        <w:rPr>
          <w:sz w:val="28"/>
          <w:szCs w:val="28"/>
        </w:rPr>
        <w:t> </w:t>
      </w:r>
      <w:r>
        <w:rPr>
          <w:sz w:val="28"/>
          <w:szCs w:val="28"/>
        </w:rPr>
        <w:t>Từ</w:t>
      </w:r>
      <w:r w:rsidRPr="0032069B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32069B">
        <w:rPr>
          <w:sz w:val="28"/>
          <w:szCs w:val="28"/>
        </w:rPr>
        <w:t>hứ Năm và Thứ Sáu. Đối với các đơn vị nghỉ Thứ Bảy, Chủ Nhật, kỳ nghỉ sẽ kéo dài </w:t>
      </w:r>
      <w:r w:rsidRPr="0032069B">
        <w:rPr>
          <w:b/>
          <w:bCs/>
          <w:sz w:val="28"/>
          <w:szCs w:val="28"/>
        </w:rPr>
        <w:t>04 ngày</w:t>
      </w:r>
      <w:r w:rsidRPr="0032069B">
        <w:rPr>
          <w:sz w:val="28"/>
          <w:szCs w:val="28"/>
        </w:rPr>
        <w:t> liên tục (từ 30/4 đến hết 03/5).</w:t>
      </w:r>
    </w:p>
    <w:p w14:paraId="0563009E" w14:textId="063EF938" w:rsidR="0032069B" w:rsidRPr="0032069B" w:rsidRDefault="0032069B" w:rsidP="00260F5E">
      <w:pPr>
        <w:spacing w:before="60" w:after="60" w:line="240" w:lineRule="auto"/>
        <w:ind w:firstLine="709"/>
        <w:jc w:val="both"/>
        <w:rPr>
          <w:b/>
          <w:bCs/>
          <w:sz w:val="28"/>
          <w:szCs w:val="28"/>
        </w:rPr>
      </w:pPr>
      <w:r w:rsidRPr="0032069B">
        <w:rPr>
          <w:b/>
          <w:bCs/>
          <w:sz w:val="28"/>
          <w:szCs w:val="28"/>
        </w:rPr>
        <w:t xml:space="preserve">2. </w:t>
      </w:r>
      <w:r w:rsidR="001F54F7">
        <w:rPr>
          <w:b/>
          <w:bCs/>
          <w:sz w:val="28"/>
          <w:szCs w:val="28"/>
        </w:rPr>
        <w:t>P</w:t>
      </w:r>
      <w:r w:rsidRPr="0032069B">
        <w:rPr>
          <w:b/>
          <w:bCs/>
          <w:sz w:val="28"/>
          <w:szCs w:val="28"/>
        </w:rPr>
        <w:t>hân công</w:t>
      </w:r>
      <w:r w:rsidR="008F037D">
        <w:rPr>
          <w:b/>
          <w:bCs/>
          <w:sz w:val="28"/>
          <w:szCs w:val="28"/>
        </w:rPr>
        <w:t xml:space="preserve"> lịch</w:t>
      </w:r>
      <w:r w:rsidRPr="0032069B">
        <w:rPr>
          <w:b/>
          <w:bCs/>
          <w:sz w:val="28"/>
          <w:szCs w:val="28"/>
        </w:rPr>
        <w:t xml:space="preserve"> trực lễ </w:t>
      </w:r>
    </w:p>
    <w:p w14:paraId="304358D5" w14:textId="77777777" w:rsidR="0032069B" w:rsidRPr="0032069B" w:rsidRDefault="0032069B" w:rsidP="00260F5E">
      <w:pPr>
        <w:spacing w:before="60" w:after="120" w:line="240" w:lineRule="auto"/>
        <w:ind w:firstLine="709"/>
        <w:jc w:val="both"/>
        <w:rPr>
          <w:sz w:val="28"/>
          <w:szCs w:val="28"/>
        </w:rPr>
      </w:pPr>
      <w:r w:rsidRPr="0032069B">
        <w:rPr>
          <w:sz w:val="28"/>
          <w:szCs w:val="28"/>
        </w:rPr>
        <w:t>Để đảm bảo an ninh và duy trì hoạt động cần thiết, các cá nhân sau đây được phân công trực trong các ngày lễ: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715"/>
        <w:gridCol w:w="2062"/>
        <w:gridCol w:w="1804"/>
        <w:gridCol w:w="1941"/>
        <w:gridCol w:w="1631"/>
      </w:tblGrid>
      <w:tr w:rsidR="0032069B" w:rsidRPr="008F037D" w14:paraId="6D8A9B53" w14:textId="77777777" w:rsidTr="008F037D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2B3AA1D" w14:textId="77777777" w:rsidR="0032069B" w:rsidRPr="008F037D" w:rsidRDefault="0032069B" w:rsidP="00260F5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037D">
              <w:rPr>
                <w:b/>
                <w:bCs/>
                <w:sz w:val="26"/>
                <w:szCs w:val="26"/>
              </w:rPr>
              <w:t>Ngày trực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191DFFE" w14:textId="77777777" w:rsidR="0032069B" w:rsidRPr="008F037D" w:rsidRDefault="0032069B" w:rsidP="00260F5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037D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2108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44AFBB9" w14:textId="77777777" w:rsidR="0032069B" w:rsidRPr="008F037D" w:rsidRDefault="0032069B" w:rsidP="00260F5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037D">
              <w:rPr>
                <w:b/>
                <w:bCs/>
                <w:sz w:val="26"/>
                <w:szCs w:val="26"/>
              </w:rPr>
              <w:t>Dịp lễ</w:t>
            </w:r>
          </w:p>
        </w:tc>
        <w:tc>
          <w:tcPr>
            <w:tcW w:w="1843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BA7C9FD" w14:textId="77777777" w:rsidR="0032069B" w:rsidRPr="008F037D" w:rsidRDefault="0032069B" w:rsidP="00260F5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037D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984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EFCCA53" w14:textId="53879352" w:rsidR="0032069B" w:rsidRPr="008F037D" w:rsidRDefault="008F037D" w:rsidP="00260F5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037D"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645" w:type="dxa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2EA9CB5" w14:textId="77777777" w:rsidR="0032069B" w:rsidRPr="008F037D" w:rsidRDefault="0032069B" w:rsidP="00260F5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037D">
              <w:rPr>
                <w:b/>
                <w:bCs/>
                <w:sz w:val="26"/>
                <w:szCs w:val="26"/>
              </w:rPr>
              <w:t>Số điện thoại</w:t>
            </w:r>
          </w:p>
        </w:tc>
      </w:tr>
      <w:tr w:rsidR="0032069B" w:rsidRPr="008F037D" w14:paraId="67101AA1" w14:textId="77777777" w:rsidTr="008F037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75BB9B" w14:textId="77777777" w:rsidR="0032069B" w:rsidRPr="00260F5E" w:rsidRDefault="0032069B" w:rsidP="00260F5E">
            <w:pPr>
              <w:spacing w:after="0" w:line="240" w:lineRule="auto"/>
              <w:ind w:firstLine="142"/>
              <w:jc w:val="center"/>
              <w:rPr>
                <w:sz w:val="26"/>
                <w:szCs w:val="26"/>
              </w:rPr>
            </w:pPr>
            <w:r w:rsidRPr="00260F5E">
              <w:rPr>
                <w:sz w:val="26"/>
                <w:szCs w:val="26"/>
              </w:rPr>
              <w:t>26/04/2026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AB1E46" w14:textId="77777777" w:rsidR="0032069B" w:rsidRPr="008F037D" w:rsidRDefault="0032069B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CN</w:t>
            </w:r>
          </w:p>
        </w:tc>
        <w:tc>
          <w:tcPr>
            <w:tcW w:w="210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B52BBD" w14:textId="16BF75EC" w:rsidR="0032069B" w:rsidRPr="008F037D" w:rsidRDefault="0032069B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Giỗ Tổ Hùng Vương</w:t>
            </w:r>
          </w:p>
        </w:tc>
        <w:tc>
          <w:tcPr>
            <w:tcW w:w="184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85BAFFF" w14:textId="7420E84E" w:rsidR="0032069B" w:rsidRPr="008F037D" w:rsidRDefault="008F037D" w:rsidP="00260F5E">
            <w:pPr>
              <w:spacing w:after="0" w:line="240" w:lineRule="auto"/>
              <w:ind w:firstLine="46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Mai Thị Thoa</w:t>
            </w:r>
          </w:p>
        </w:tc>
        <w:tc>
          <w:tcPr>
            <w:tcW w:w="1984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07BCEA2" w14:textId="69AF0CC5" w:rsidR="0032069B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Hiệu trưởng</w:t>
            </w:r>
          </w:p>
        </w:tc>
        <w:tc>
          <w:tcPr>
            <w:tcW w:w="164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8B30693" w14:textId="5BE957C1" w:rsidR="0032069B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0977009546</w:t>
            </w:r>
          </w:p>
        </w:tc>
      </w:tr>
      <w:tr w:rsidR="0032069B" w:rsidRPr="008F037D" w14:paraId="67E51EAC" w14:textId="77777777" w:rsidTr="008F037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DA7B89" w14:textId="77777777" w:rsidR="0032069B" w:rsidRPr="00260F5E" w:rsidRDefault="0032069B" w:rsidP="00260F5E">
            <w:pPr>
              <w:spacing w:after="0" w:line="240" w:lineRule="auto"/>
              <w:ind w:firstLine="142"/>
              <w:jc w:val="center"/>
              <w:rPr>
                <w:sz w:val="26"/>
                <w:szCs w:val="26"/>
              </w:rPr>
            </w:pPr>
            <w:r w:rsidRPr="00260F5E">
              <w:rPr>
                <w:sz w:val="26"/>
                <w:szCs w:val="26"/>
              </w:rPr>
              <w:t>27/04/2026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C229F0" w14:textId="77777777" w:rsidR="0032069B" w:rsidRPr="008F037D" w:rsidRDefault="0032069B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T2</w:t>
            </w:r>
          </w:p>
        </w:tc>
        <w:tc>
          <w:tcPr>
            <w:tcW w:w="210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CF96B5" w14:textId="77777777" w:rsidR="0032069B" w:rsidRPr="008F037D" w:rsidRDefault="0032069B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Nghỉ bù Giỗ Tổ</w:t>
            </w:r>
          </w:p>
        </w:tc>
        <w:tc>
          <w:tcPr>
            <w:tcW w:w="184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D57247" w14:textId="4A33C769" w:rsidR="0032069B" w:rsidRPr="008F037D" w:rsidRDefault="008F037D" w:rsidP="00260F5E">
            <w:pPr>
              <w:spacing w:after="0" w:line="240" w:lineRule="auto"/>
              <w:ind w:firstLine="46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Bùi Thị Liên</w:t>
            </w:r>
          </w:p>
        </w:tc>
        <w:tc>
          <w:tcPr>
            <w:tcW w:w="1984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78DBD13" w14:textId="39CA5B45" w:rsidR="0032069B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Phó hiệu trưởng</w:t>
            </w:r>
          </w:p>
        </w:tc>
        <w:tc>
          <w:tcPr>
            <w:tcW w:w="164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39B4CFC" w14:textId="70DE073D" w:rsidR="0032069B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0983506018</w:t>
            </w:r>
          </w:p>
        </w:tc>
      </w:tr>
      <w:tr w:rsidR="0032069B" w:rsidRPr="008F037D" w14:paraId="3D6BFEFD" w14:textId="77777777" w:rsidTr="008F037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D69ABD" w14:textId="77777777" w:rsidR="0032069B" w:rsidRPr="00260F5E" w:rsidRDefault="0032069B" w:rsidP="00260F5E">
            <w:pPr>
              <w:spacing w:after="0" w:line="240" w:lineRule="auto"/>
              <w:ind w:firstLine="142"/>
              <w:jc w:val="center"/>
              <w:rPr>
                <w:sz w:val="26"/>
                <w:szCs w:val="26"/>
              </w:rPr>
            </w:pPr>
            <w:r w:rsidRPr="00260F5E">
              <w:rPr>
                <w:sz w:val="26"/>
                <w:szCs w:val="26"/>
              </w:rPr>
              <w:t>30/04/2026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FB3C8B" w14:textId="77777777" w:rsidR="0032069B" w:rsidRPr="008F037D" w:rsidRDefault="0032069B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T5</w:t>
            </w:r>
          </w:p>
        </w:tc>
        <w:tc>
          <w:tcPr>
            <w:tcW w:w="210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4E9251" w14:textId="77777777" w:rsidR="0032069B" w:rsidRPr="008F037D" w:rsidRDefault="0032069B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Giải phóng miền Nam</w:t>
            </w:r>
          </w:p>
        </w:tc>
        <w:tc>
          <w:tcPr>
            <w:tcW w:w="184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4FDD87" w14:textId="4200DD7E" w:rsidR="0032069B" w:rsidRPr="008F037D" w:rsidRDefault="008F037D" w:rsidP="00260F5E">
            <w:pPr>
              <w:spacing w:after="0" w:line="240" w:lineRule="auto"/>
              <w:ind w:firstLine="46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Bùi Thị Nhâm</w:t>
            </w:r>
          </w:p>
        </w:tc>
        <w:tc>
          <w:tcPr>
            <w:tcW w:w="1984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2F27568" w14:textId="465A3A72" w:rsidR="0032069B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Phó hiệu trưởng</w:t>
            </w:r>
          </w:p>
        </w:tc>
        <w:tc>
          <w:tcPr>
            <w:tcW w:w="164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A8F102A" w14:textId="27BF7758" w:rsidR="0032069B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0376436303</w:t>
            </w:r>
          </w:p>
        </w:tc>
      </w:tr>
      <w:tr w:rsidR="008F037D" w:rsidRPr="008F037D" w14:paraId="7FF050E0" w14:textId="77777777" w:rsidTr="00260F5E">
        <w:trPr>
          <w:trHeight w:val="519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2200AE" w14:textId="77777777" w:rsidR="008F037D" w:rsidRPr="00260F5E" w:rsidRDefault="008F037D" w:rsidP="00260F5E">
            <w:pPr>
              <w:spacing w:after="0" w:line="240" w:lineRule="auto"/>
              <w:ind w:firstLine="142"/>
              <w:jc w:val="center"/>
              <w:rPr>
                <w:sz w:val="26"/>
                <w:szCs w:val="26"/>
              </w:rPr>
            </w:pPr>
            <w:r w:rsidRPr="00260F5E">
              <w:rPr>
                <w:sz w:val="26"/>
                <w:szCs w:val="26"/>
              </w:rPr>
              <w:t>01/05/2026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810C11" w14:textId="77777777" w:rsidR="008F037D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T6</w:t>
            </w:r>
          </w:p>
        </w:tc>
        <w:tc>
          <w:tcPr>
            <w:tcW w:w="2108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B8E7EE" w14:textId="77777777" w:rsidR="008F037D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Quốc tế Lao động</w:t>
            </w:r>
          </w:p>
        </w:tc>
        <w:tc>
          <w:tcPr>
            <w:tcW w:w="184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A663C3" w14:textId="6F856256" w:rsidR="008F037D" w:rsidRPr="008F037D" w:rsidRDefault="008F037D" w:rsidP="00260F5E">
            <w:pPr>
              <w:spacing w:after="0" w:line="240" w:lineRule="auto"/>
              <w:ind w:firstLine="46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Mai Thị Thoa</w:t>
            </w:r>
          </w:p>
        </w:tc>
        <w:tc>
          <w:tcPr>
            <w:tcW w:w="1984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54E0290" w14:textId="6B1A64A4" w:rsidR="008F037D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Hiệu trưởng</w:t>
            </w:r>
          </w:p>
        </w:tc>
        <w:tc>
          <w:tcPr>
            <w:tcW w:w="164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CC5162C" w14:textId="6E93DAE4" w:rsidR="008F037D" w:rsidRPr="008F037D" w:rsidRDefault="008F037D" w:rsidP="00260F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037D">
              <w:rPr>
                <w:sz w:val="26"/>
                <w:szCs w:val="26"/>
              </w:rPr>
              <w:t>0977009546</w:t>
            </w:r>
          </w:p>
        </w:tc>
      </w:tr>
    </w:tbl>
    <w:p w14:paraId="11D050EE" w14:textId="62C9E7A3" w:rsidR="00260F5E" w:rsidRDefault="00260F5E" w:rsidP="00260F5E">
      <w:pPr>
        <w:tabs>
          <w:tab w:val="right" w:pos="9072"/>
        </w:tabs>
        <w:spacing w:before="120" w:after="120" w:line="240" w:lineRule="auto"/>
        <w:rPr>
          <w:sz w:val="28"/>
          <w:szCs w:val="28"/>
        </w:rPr>
      </w:pPr>
      <w:r w:rsidRPr="00260F5E">
        <w:rPr>
          <w:b/>
          <w:bCs/>
          <w:sz w:val="28"/>
          <w:szCs w:val="28"/>
        </w:rPr>
        <w:t xml:space="preserve">   HIỆU TRƯỞNG</w:t>
      </w:r>
      <w:r>
        <w:rPr>
          <w:sz w:val="28"/>
          <w:szCs w:val="28"/>
        </w:rPr>
        <w:tab/>
      </w:r>
      <w:r w:rsidRPr="00260F5E">
        <w:rPr>
          <w:i/>
          <w:iCs/>
          <w:sz w:val="28"/>
          <w:szCs w:val="28"/>
        </w:rPr>
        <w:t>Gia viễn, ngày 24 tháng 4 năm 2026</w:t>
      </w:r>
    </w:p>
    <w:p w14:paraId="790716D3" w14:textId="7A927DFD" w:rsidR="00260F5E" w:rsidRPr="00260F5E" w:rsidRDefault="00260F5E" w:rsidP="00260F5E">
      <w:pPr>
        <w:tabs>
          <w:tab w:val="left" w:pos="960"/>
          <w:tab w:val="left" w:pos="6720"/>
        </w:tabs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iCs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</w:t>
      </w:r>
      <w:r w:rsidRPr="00260F5E">
        <w:rPr>
          <w:b/>
          <w:bCs/>
          <w:sz w:val="28"/>
          <w:szCs w:val="28"/>
        </w:rPr>
        <w:t>NGƯỜI LÀM THÔNG BÁO</w:t>
      </w:r>
    </w:p>
    <w:p w14:paraId="2DF663D9" w14:textId="2A5AA313" w:rsidR="00260F5E" w:rsidRDefault="00260F5E" w:rsidP="00260F5E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Pr="00260F5E">
        <w:rPr>
          <w:i/>
          <w:iCs/>
          <w:sz w:val="28"/>
          <w:szCs w:val="28"/>
        </w:rPr>
        <w:t>( Đã Ký</w:t>
      </w:r>
      <w:r>
        <w:rPr>
          <w:i/>
          <w:iCs/>
          <w:sz w:val="28"/>
          <w:szCs w:val="28"/>
        </w:rPr>
        <w:t>)</w:t>
      </w:r>
    </w:p>
    <w:p w14:paraId="211FAEB7" w14:textId="77777777" w:rsidR="00260F5E" w:rsidRDefault="00260F5E" w:rsidP="00260F5E">
      <w:pPr>
        <w:rPr>
          <w:sz w:val="28"/>
          <w:szCs w:val="28"/>
        </w:rPr>
      </w:pPr>
    </w:p>
    <w:p w14:paraId="0C3B318C" w14:textId="3848854F" w:rsidR="00260F5E" w:rsidRPr="00260F5E" w:rsidRDefault="00260F5E" w:rsidP="00260F5E">
      <w:pPr>
        <w:tabs>
          <w:tab w:val="left" w:pos="945"/>
          <w:tab w:val="left" w:pos="660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60F5E">
        <w:rPr>
          <w:b/>
          <w:bCs/>
          <w:sz w:val="28"/>
          <w:szCs w:val="28"/>
        </w:rPr>
        <w:t>Mai Thị Thoa</w:t>
      </w:r>
      <w:r>
        <w:rPr>
          <w:b/>
          <w:bCs/>
          <w:sz w:val="28"/>
          <w:szCs w:val="28"/>
        </w:rPr>
        <w:t xml:space="preserve">                                                      PHT: Bùi Thị Liên</w:t>
      </w:r>
    </w:p>
    <w:sectPr w:rsidR="00260F5E" w:rsidRPr="00260F5E" w:rsidSect="00F528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9425" w14:textId="77777777" w:rsidR="00CB6FB4" w:rsidRDefault="00CB6FB4" w:rsidP="00260F5E">
      <w:pPr>
        <w:spacing w:after="0" w:line="240" w:lineRule="auto"/>
      </w:pPr>
      <w:r>
        <w:separator/>
      </w:r>
    </w:p>
  </w:endnote>
  <w:endnote w:type="continuationSeparator" w:id="0">
    <w:p w14:paraId="555C4BD6" w14:textId="77777777" w:rsidR="00CB6FB4" w:rsidRDefault="00CB6FB4" w:rsidP="0026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4DAF" w14:textId="77777777" w:rsidR="00CB6FB4" w:rsidRDefault="00CB6FB4" w:rsidP="00260F5E">
      <w:pPr>
        <w:spacing w:after="0" w:line="240" w:lineRule="auto"/>
      </w:pPr>
      <w:r>
        <w:separator/>
      </w:r>
    </w:p>
  </w:footnote>
  <w:footnote w:type="continuationSeparator" w:id="0">
    <w:p w14:paraId="44323252" w14:textId="77777777" w:rsidR="00CB6FB4" w:rsidRDefault="00CB6FB4" w:rsidP="00260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537"/>
    <w:multiLevelType w:val="multilevel"/>
    <w:tmpl w:val="6DC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26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9B"/>
    <w:rsid w:val="000012EE"/>
    <w:rsid w:val="00053B4B"/>
    <w:rsid w:val="00114B51"/>
    <w:rsid w:val="001F54F7"/>
    <w:rsid w:val="00260F5E"/>
    <w:rsid w:val="0032069B"/>
    <w:rsid w:val="005E4616"/>
    <w:rsid w:val="008A75FD"/>
    <w:rsid w:val="008F037D"/>
    <w:rsid w:val="00CB6FB4"/>
    <w:rsid w:val="00F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2054"/>
  <w15:chartTrackingRefBased/>
  <w15:docId w15:val="{F8C4A637-BB81-44C5-8CC8-C4AAF98D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6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6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6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6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6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6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6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6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6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6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6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6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6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6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6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6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6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0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6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F5E"/>
  </w:style>
  <w:style w:type="paragraph" w:styleId="Footer">
    <w:name w:val="footer"/>
    <w:basedOn w:val="Normal"/>
    <w:link w:val="FooterChar"/>
    <w:uiPriority w:val="99"/>
    <w:unhideWhenUsed/>
    <w:rsid w:val="0026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2288-6D65-4C73-8BA6-AA381A5A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2026-04-28T04:23:00Z</dcterms:created>
  <dcterms:modified xsi:type="dcterms:W3CDTF">2026-04-28T06:59:00Z</dcterms:modified>
</cp:coreProperties>
</file>